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4ADF" w14:textId="53081215" w:rsidR="00566BBB" w:rsidRDefault="00000000" w:rsidP="00A24A1F">
      <w:pPr>
        <w:jc w:val="both"/>
      </w:pPr>
      <w:r>
        <w:rPr>
          <w:b/>
          <w:color w:val="202124"/>
          <w:sz w:val="30"/>
        </w:rPr>
        <w:t>KADIN HAKLARI VE TOPLUMSAL CINSIYET ÜZERINE BIR BULUŞMA</w:t>
      </w:r>
    </w:p>
    <w:p w14:paraId="506D8BFE" w14:textId="77777777" w:rsidR="00566BBB" w:rsidRDefault="00566BBB" w:rsidP="00A24A1F">
      <w:pPr>
        <w:pBdr>
          <w:bottom w:val="single" w:sz="4" w:space="1" w:color="DADCE0"/>
        </w:pBdr>
        <w:spacing w:before="80" w:after="80"/>
        <w:jc w:val="both"/>
      </w:pPr>
    </w:p>
    <w:p w14:paraId="45B99189" w14:textId="77777777" w:rsidR="00566BBB" w:rsidRDefault="00000000" w:rsidP="00A24A1F">
      <w:pPr>
        <w:spacing w:before="200" w:after="140"/>
        <w:jc w:val="both"/>
      </w:pPr>
      <w:proofErr w:type="spellStart"/>
      <w:r>
        <w:rPr>
          <w:color w:val="202124"/>
        </w:rPr>
        <w:t>Toplumun</w:t>
      </w:r>
      <w:proofErr w:type="spellEnd"/>
      <w:r>
        <w:rPr>
          <w:color w:val="202124"/>
        </w:rPr>
        <w:t xml:space="preserve"> Güçlü Yarını: </w:t>
      </w:r>
      <w:proofErr w:type="spellStart"/>
      <w:r>
        <w:rPr>
          <w:color w:val="202124"/>
        </w:rPr>
        <w:t>Kadın</w:t>
      </w:r>
      <w:proofErr w:type="spellEnd"/>
      <w:r>
        <w:rPr>
          <w:color w:val="202124"/>
        </w:rPr>
        <w:t xml:space="preserve"> Hakları ve Toplumsal Cinsiyet Üzerine Bir Buluşma, 6 Mart 2025 tarihinde 170 katılımcının iştirakiyle başarıyla tamamlandı. Öğrencilerin dilek, istek, şikayet ve talep formlarında ilettikleri 'sosyal sorumluluk ve kadın hakları paneli' isteği doğrultusunda planlanmıştır. Etkinlik, TORKARMER'in yıllık kariyer geliştirme programı çerçevesinde şekillendirildi; öğrencilerin bir önceki etkinlik değerlendirmelerinde öne çıkan beklenti ve talepler, içerik tasarımında yol gösterici işlev gördü.</w:t>
      </w:r>
    </w:p>
    <w:p w14:paraId="57F74D84" w14:textId="77777777" w:rsidR="00566BBB" w:rsidRDefault="00000000" w:rsidP="00A24A1F">
      <w:pPr>
        <w:spacing w:before="160" w:after="140"/>
        <w:jc w:val="both"/>
      </w:pPr>
      <w:r>
        <w:rPr>
          <w:color w:val="202124"/>
        </w:rPr>
        <w:t xml:space="preserve">6 Mart 2025 </w:t>
      </w:r>
      <w:proofErr w:type="spellStart"/>
      <w:r>
        <w:rPr>
          <w:color w:val="202124"/>
        </w:rPr>
        <w:t>tarihinde</w:t>
      </w:r>
      <w:proofErr w:type="spellEnd"/>
      <w:r>
        <w:rPr>
          <w:color w:val="202124"/>
        </w:rPr>
        <w:t xml:space="preserve"> 170 </w:t>
      </w:r>
      <w:proofErr w:type="spellStart"/>
      <w:r>
        <w:rPr>
          <w:color w:val="202124"/>
        </w:rPr>
        <w:t>katılımcıyla</w:t>
      </w:r>
      <w:proofErr w:type="spellEnd"/>
      <w:r>
        <w:rPr>
          <w:color w:val="202124"/>
        </w:rPr>
        <w:t xml:space="preserve"> </w:t>
      </w:r>
      <w:proofErr w:type="spellStart"/>
      <w:r>
        <w:rPr>
          <w:color w:val="202124"/>
        </w:rPr>
        <w:t>geniş</w:t>
      </w:r>
      <w:proofErr w:type="spellEnd"/>
      <w:r>
        <w:rPr>
          <w:color w:val="202124"/>
        </w:rPr>
        <w:t xml:space="preserve"> kapsamlı Kadın Hakları Paneli gerçekleştirilmiştir. Etkinlik boyunca interaktif sunum formatı benimsendi; katılımcılar yalnızca dinleyen konumunda kalmayarak aktif katkı sağladı. Program akışı teorik bölümler ve uygulama modüllerinin dengeli biçimde kurgulanmasıyla şekillendi. Etkinliğin içeriği, öğrencilerin mesleki gelişimlerine doğrudan katkı sunacak bilgi ve beceri odaklı bir yaklaşım üzerine inşa edildi.</w:t>
      </w:r>
    </w:p>
    <w:p w14:paraId="67999C47" w14:textId="77777777" w:rsidR="00566BBB" w:rsidRDefault="00000000" w:rsidP="00A24A1F">
      <w:pPr>
        <w:spacing w:before="160" w:after="140"/>
        <w:jc w:val="both"/>
      </w:pPr>
      <w:proofErr w:type="spellStart"/>
      <w:r>
        <w:rPr>
          <w:color w:val="202124"/>
        </w:rPr>
        <w:t>Etkinliğe</w:t>
      </w:r>
      <w:proofErr w:type="spellEnd"/>
      <w:r>
        <w:rPr>
          <w:color w:val="202124"/>
        </w:rPr>
        <w:t xml:space="preserve"> </w:t>
      </w:r>
      <w:proofErr w:type="spellStart"/>
      <w:r>
        <w:rPr>
          <w:color w:val="202124"/>
        </w:rPr>
        <w:t>toplamda</w:t>
      </w:r>
      <w:proofErr w:type="spellEnd"/>
      <w:r>
        <w:rPr>
          <w:color w:val="202124"/>
        </w:rPr>
        <w:t xml:space="preserve"> 170 </w:t>
      </w:r>
      <w:proofErr w:type="spellStart"/>
      <w:r>
        <w:rPr>
          <w:color w:val="202124"/>
        </w:rPr>
        <w:t>kişi</w:t>
      </w:r>
      <w:proofErr w:type="spellEnd"/>
      <w:r>
        <w:rPr>
          <w:color w:val="202124"/>
        </w:rPr>
        <w:t xml:space="preserve"> katıldı; katılımcıların büyük çoğunluğunu 161 öğrenci oluşturdu. Etkinliğe 9 akademik/idari personel eşlik etti. Etkinlik sonrası uygulanan memnuniyet anketi, 155 katılımcı tarafından yanıtlandı (anket katılım oranı: %91). Anketin geniş bir yanıt tabanına ulaşması, değerlendirmelerin temsil gücünü artırmakta ve etkinlik kalitesine ilişkin çıkarımlara daha sağlam bir zemin oluşturmaktadır.</w:t>
      </w:r>
    </w:p>
    <w:p w14:paraId="13873794" w14:textId="77777777" w:rsidR="00566BBB" w:rsidRDefault="00000000" w:rsidP="00A24A1F">
      <w:pPr>
        <w:spacing w:before="160" w:after="140"/>
        <w:jc w:val="both"/>
      </w:pPr>
      <w:proofErr w:type="spellStart"/>
      <w:r>
        <w:rPr>
          <w:color w:val="202124"/>
        </w:rPr>
        <w:t>Etkinlik</w:t>
      </w:r>
      <w:proofErr w:type="spellEnd"/>
      <w:r>
        <w:rPr>
          <w:color w:val="202124"/>
        </w:rPr>
        <w:t xml:space="preserve"> </w:t>
      </w:r>
      <w:proofErr w:type="spellStart"/>
      <w:r>
        <w:rPr>
          <w:color w:val="202124"/>
        </w:rPr>
        <w:t>içeriği</w:t>
      </w:r>
      <w:proofErr w:type="spellEnd"/>
      <w:r>
        <w:rPr>
          <w:color w:val="202124"/>
        </w:rPr>
        <w:t xml:space="preserve"> </w:t>
      </w:r>
      <w:proofErr w:type="spellStart"/>
      <w:r>
        <w:rPr>
          <w:color w:val="202124"/>
        </w:rPr>
        <w:t>iki</w:t>
      </w:r>
      <w:proofErr w:type="spellEnd"/>
      <w:r>
        <w:rPr>
          <w:color w:val="202124"/>
        </w:rPr>
        <w:t xml:space="preserve"> </w:t>
      </w:r>
      <w:proofErr w:type="spellStart"/>
      <w:r>
        <w:rPr>
          <w:color w:val="202124"/>
        </w:rPr>
        <w:t>temel</w:t>
      </w:r>
      <w:proofErr w:type="spellEnd"/>
      <w:r>
        <w:rPr>
          <w:color w:val="202124"/>
        </w:rPr>
        <w:t xml:space="preserve"> boyutta ele alındı: programın genel içerik kalitesi ve konuşmacı/eğitmen performansı. Genel içerik memnuniyeti 4.80/5.00 olarak ölçülürken, katılımcıların %98'i bu boyutta 4 veya 5 puan verdi. Konuşmacı ve sunum kalitesi ise 4.80/5.00 ortalama ile değerlendirildi; %98'si yüksek memnuniyet bildirdi. Konuşmacı performansının içerik memnuniyetinin hafif üzerinde çıkması, sunumların içeriği ön plana çıkardığına işaret etmektedir. Her iki boyutun bütünleşik ortalaması 4.80/5.00 düzeyinde gerçekleşmesiyle içerik kalitesinin genel olarak yüksek bir değerlendirmeye konu olduğu görülmektedir. Anketlerde memnuniyet oranı oldukça yüksek çıkmış ve bu tür panellerin sürekliliği talep edilmiştir.</w:t>
      </w:r>
    </w:p>
    <w:p w14:paraId="57FA2CEE" w14:textId="7A4DFA06" w:rsidR="00566BBB" w:rsidRDefault="00000000" w:rsidP="00A24A1F">
      <w:pPr>
        <w:spacing w:before="160" w:after="140"/>
        <w:jc w:val="both"/>
      </w:pPr>
      <w:proofErr w:type="spellStart"/>
      <w:r>
        <w:rPr>
          <w:color w:val="202124"/>
        </w:rPr>
        <w:t>Anket</w:t>
      </w:r>
      <w:proofErr w:type="spellEnd"/>
      <w:r>
        <w:rPr>
          <w:color w:val="202124"/>
        </w:rPr>
        <w:t xml:space="preserve"> </w:t>
      </w:r>
      <w:proofErr w:type="spellStart"/>
      <w:r>
        <w:rPr>
          <w:color w:val="202124"/>
        </w:rPr>
        <w:t>verileri</w:t>
      </w:r>
      <w:proofErr w:type="spellEnd"/>
      <w:r>
        <w:rPr>
          <w:color w:val="202124"/>
        </w:rPr>
        <w:t xml:space="preserve"> </w:t>
      </w:r>
      <w:proofErr w:type="spellStart"/>
      <w:r>
        <w:rPr>
          <w:color w:val="202124"/>
        </w:rPr>
        <w:t>beş</w:t>
      </w:r>
      <w:proofErr w:type="spellEnd"/>
      <w:r>
        <w:rPr>
          <w:color w:val="202124"/>
        </w:rPr>
        <w:t xml:space="preserve"> </w:t>
      </w:r>
      <w:proofErr w:type="spellStart"/>
      <w:r>
        <w:rPr>
          <w:color w:val="202124"/>
        </w:rPr>
        <w:t>farklı</w:t>
      </w:r>
      <w:proofErr w:type="spellEnd"/>
      <w:r>
        <w:rPr>
          <w:color w:val="202124"/>
        </w:rPr>
        <w:t xml:space="preserve"> boyut üzerinden analiz edildiğinde etkinliğin son </w:t>
      </w:r>
      <w:proofErr w:type="spellStart"/>
      <w:r>
        <w:rPr>
          <w:color w:val="202124"/>
        </w:rPr>
        <w:t>derece</w:t>
      </w:r>
      <w:proofErr w:type="spellEnd"/>
      <w:r>
        <w:rPr>
          <w:color w:val="202124"/>
        </w:rPr>
        <w:t xml:space="preserve"> </w:t>
      </w:r>
      <w:proofErr w:type="spellStart"/>
      <w:r>
        <w:rPr>
          <w:color w:val="202124"/>
        </w:rPr>
        <w:t>yüksek</w:t>
      </w:r>
      <w:proofErr w:type="spellEnd"/>
      <w:r>
        <w:rPr>
          <w:color w:val="202124"/>
        </w:rPr>
        <w:t xml:space="preserve"> </w:t>
      </w:r>
      <w:proofErr w:type="spellStart"/>
      <w:r>
        <w:rPr>
          <w:color w:val="202124"/>
        </w:rPr>
        <w:t>bir</w:t>
      </w:r>
      <w:proofErr w:type="spellEnd"/>
      <w:r>
        <w:rPr>
          <w:color w:val="202124"/>
        </w:rPr>
        <w:t xml:space="preserve"> </w:t>
      </w:r>
      <w:proofErr w:type="spellStart"/>
      <w:r>
        <w:rPr>
          <w:color w:val="202124"/>
        </w:rPr>
        <w:t>memnuniyet</w:t>
      </w:r>
      <w:proofErr w:type="spellEnd"/>
      <w:r>
        <w:rPr>
          <w:color w:val="202124"/>
        </w:rPr>
        <w:t xml:space="preserve"> </w:t>
      </w:r>
      <w:proofErr w:type="spellStart"/>
      <w:r>
        <w:rPr>
          <w:color w:val="202124"/>
        </w:rPr>
        <w:t>ile</w:t>
      </w:r>
      <w:proofErr w:type="spellEnd"/>
      <w:r>
        <w:rPr>
          <w:color w:val="202124"/>
        </w:rPr>
        <w:t xml:space="preserve"> </w:t>
      </w:r>
      <w:proofErr w:type="spellStart"/>
      <w:r>
        <w:rPr>
          <w:color w:val="202124"/>
        </w:rPr>
        <w:t>sonuçlandığı</w:t>
      </w:r>
      <w:proofErr w:type="spellEnd"/>
      <w:r>
        <w:rPr>
          <w:color w:val="202124"/>
        </w:rPr>
        <w:t xml:space="preserve"> </w:t>
      </w:r>
      <w:proofErr w:type="spellStart"/>
      <w:r>
        <w:rPr>
          <w:color w:val="202124"/>
        </w:rPr>
        <w:t>görülmektedir</w:t>
      </w:r>
      <w:proofErr w:type="spellEnd"/>
      <w:r w:rsidR="00A24A1F">
        <w:rPr>
          <w:color w:val="202124"/>
        </w:rPr>
        <w:t xml:space="preserve">. </w:t>
      </w:r>
      <w:proofErr w:type="spellStart"/>
      <w:r>
        <w:rPr>
          <w:color w:val="202124"/>
        </w:rPr>
        <w:t>Kariyer</w:t>
      </w:r>
      <w:proofErr w:type="spellEnd"/>
      <w:r>
        <w:rPr>
          <w:color w:val="202124"/>
        </w:rPr>
        <w:t xml:space="preserve"> </w:t>
      </w:r>
      <w:proofErr w:type="spellStart"/>
      <w:r>
        <w:rPr>
          <w:color w:val="202124"/>
        </w:rPr>
        <w:t>katkısı</w:t>
      </w:r>
      <w:proofErr w:type="spellEnd"/>
      <w:r>
        <w:rPr>
          <w:color w:val="202124"/>
        </w:rPr>
        <w:t xml:space="preserve"> </w:t>
      </w:r>
      <w:proofErr w:type="spellStart"/>
      <w:r>
        <w:rPr>
          <w:color w:val="202124"/>
        </w:rPr>
        <w:t>boyutunda</w:t>
      </w:r>
      <w:proofErr w:type="spellEnd"/>
      <w:r>
        <w:rPr>
          <w:color w:val="202124"/>
        </w:rPr>
        <w:t xml:space="preserve"> </w:t>
      </w:r>
      <w:proofErr w:type="spellStart"/>
      <w:r>
        <w:rPr>
          <w:color w:val="202124"/>
        </w:rPr>
        <w:t>katılımcılar</w:t>
      </w:r>
      <w:proofErr w:type="spellEnd"/>
      <w:r>
        <w:rPr>
          <w:color w:val="202124"/>
        </w:rPr>
        <w:t xml:space="preserve"> 4.70/5.00 ortalama verdi; bu oran, etkinliğin mesleki gelişime yüksek bir katkı sağladığını ortaya koymaktadır. Katılımcıların %97'i kariyer katkısını yüksek (4-5 puan) olarak değerlendirdi. Organizasyon boyutunda ise elde edilen 4.62/5.00 ortalama, lojistik ve planlama açısından yüksek bir deneyim yaşandığına işaret etmektedir. Genel memnuniyet ve yeniden katılım isteği sorusunda 4.68/5.00 ortalama elde edildi; katılımcıların %98'i bu etkinliğe benzer programlara tekrar iştirak etmek istediklerini belirtti. Bu oran, etkinliğin bıraktığı kalıcı izlenim açısından güçlü bir gösterge niteliği taşımaktadır.</w:t>
      </w:r>
    </w:p>
    <w:p w14:paraId="11AEA829" w14:textId="77777777" w:rsidR="00566BBB" w:rsidRDefault="00000000" w:rsidP="00A24A1F">
      <w:pPr>
        <w:spacing w:before="160" w:after="140"/>
        <w:jc w:val="both"/>
      </w:pPr>
      <w:r>
        <w:rPr>
          <w:color w:val="202124"/>
        </w:rPr>
        <w:t xml:space="preserve">Açık </w:t>
      </w:r>
      <w:proofErr w:type="spellStart"/>
      <w:r>
        <w:rPr>
          <w:color w:val="202124"/>
        </w:rPr>
        <w:t>uçlu</w:t>
      </w:r>
      <w:proofErr w:type="spellEnd"/>
      <w:r>
        <w:rPr>
          <w:color w:val="202124"/>
        </w:rPr>
        <w:t xml:space="preserve"> </w:t>
      </w:r>
      <w:proofErr w:type="spellStart"/>
      <w:r>
        <w:rPr>
          <w:color w:val="202124"/>
        </w:rPr>
        <w:t>anket</w:t>
      </w:r>
      <w:proofErr w:type="spellEnd"/>
      <w:r>
        <w:rPr>
          <w:color w:val="202124"/>
        </w:rPr>
        <w:t xml:space="preserve"> </w:t>
      </w:r>
      <w:proofErr w:type="spellStart"/>
      <w:r>
        <w:rPr>
          <w:color w:val="202124"/>
        </w:rPr>
        <w:t>sorularına</w:t>
      </w:r>
      <w:proofErr w:type="spellEnd"/>
      <w:r>
        <w:rPr>
          <w:color w:val="202124"/>
        </w:rPr>
        <w:t xml:space="preserve"> </w:t>
      </w:r>
      <w:proofErr w:type="spellStart"/>
      <w:r>
        <w:rPr>
          <w:color w:val="202124"/>
        </w:rPr>
        <w:t>verilen</w:t>
      </w:r>
      <w:proofErr w:type="spellEnd"/>
      <w:r>
        <w:rPr>
          <w:color w:val="202124"/>
        </w:rPr>
        <w:t xml:space="preserve"> yanıtlar incelendiğinde geri bildirimlerin yaklaşık %75'inin olumlu veya takdire değer unsurları ön plana çıkardığı, %25'inin ise iyileştirmeye açık alanları işaret ettiği görülmektedir. Öğrencilerin en çok vurguladığı olumlu unsurlar arasında içeriğin </w:t>
      </w:r>
      <w:r>
        <w:rPr>
          <w:color w:val="202124"/>
        </w:rPr>
        <w:lastRenderedPageBreak/>
        <w:t>uygulanabilirliği ve etkinliğin genel organizasyon kalitesi yer aldı. Geliştirme önerileri arasında ise duyuruların daha erken yapılması ve katılımcılara önceden materyal gönderilmesi öne çıktı. Bu geri bildirimler, etkinliğin güçlü yönlerini pekiştiren ve gelişime açık alanlarını açıkça ortaya koyan somut veriler olarak değerlendirilmektedir.</w:t>
      </w:r>
    </w:p>
    <w:p w14:paraId="74F82290" w14:textId="290EF316" w:rsidR="00566BBB" w:rsidRPr="00A24A1F" w:rsidRDefault="00000000" w:rsidP="00A24A1F">
      <w:pPr>
        <w:spacing w:before="160" w:after="140"/>
        <w:jc w:val="both"/>
        <w:rPr>
          <w:color w:val="EE0000"/>
        </w:rPr>
      </w:pPr>
      <w:proofErr w:type="spellStart"/>
      <w:r w:rsidRPr="00A24A1F">
        <w:rPr>
          <w:color w:val="EE0000"/>
        </w:rPr>
        <w:t>Tüm</w:t>
      </w:r>
      <w:proofErr w:type="spellEnd"/>
      <w:r w:rsidRPr="00A24A1F">
        <w:rPr>
          <w:color w:val="EE0000"/>
        </w:rPr>
        <w:t xml:space="preserve"> </w:t>
      </w:r>
      <w:proofErr w:type="spellStart"/>
      <w:r w:rsidRPr="00A24A1F">
        <w:rPr>
          <w:color w:val="EE0000"/>
        </w:rPr>
        <w:t>bu</w:t>
      </w:r>
      <w:proofErr w:type="spellEnd"/>
      <w:r w:rsidRPr="00A24A1F">
        <w:rPr>
          <w:color w:val="EE0000"/>
        </w:rPr>
        <w:t xml:space="preserve"> </w:t>
      </w:r>
      <w:proofErr w:type="spellStart"/>
      <w:r w:rsidRPr="00A24A1F">
        <w:rPr>
          <w:color w:val="EE0000"/>
        </w:rPr>
        <w:t>bulgular</w:t>
      </w:r>
      <w:proofErr w:type="spellEnd"/>
      <w:r w:rsidRPr="00A24A1F">
        <w:rPr>
          <w:color w:val="EE0000"/>
        </w:rPr>
        <w:t xml:space="preserve"> </w:t>
      </w:r>
      <w:proofErr w:type="spellStart"/>
      <w:r w:rsidRPr="00A24A1F">
        <w:rPr>
          <w:color w:val="EE0000"/>
        </w:rPr>
        <w:t>ve</w:t>
      </w:r>
      <w:proofErr w:type="spellEnd"/>
      <w:r w:rsidRPr="00A24A1F">
        <w:rPr>
          <w:color w:val="EE0000"/>
        </w:rPr>
        <w:t xml:space="preserve"> katılımcı geri bildirimleri bütünüyle değerlendirildiğinde, Bir sonraki etkinliği, bir önceki etkinliğin anket sonuçları, geri bildirimleri </w:t>
      </w:r>
      <w:proofErr w:type="spellStart"/>
      <w:r w:rsidRPr="00A24A1F">
        <w:rPr>
          <w:color w:val="EE0000"/>
        </w:rPr>
        <w:t>ve</w:t>
      </w:r>
      <w:proofErr w:type="spellEnd"/>
      <w:r w:rsidRPr="00A24A1F">
        <w:rPr>
          <w:color w:val="EE0000"/>
        </w:rPr>
        <w:t xml:space="preserve"> </w:t>
      </w:r>
      <w:proofErr w:type="spellStart"/>
      <w:r w:rsidRPr="00A24A1F">
        <w:rPr>
          <w:color w:val="EE0000"/>
        </w:rPr>
        <w:t>öğrenci</w:t>
      </w:r>
      <w:proofErr w:type="spellEnd"/>
      <w:r w:rsidRPr="00A24A1F">
        <w:rPr>
          <w:color w:val="EE0000"/>
        </w:rPr>
        <w:t xml:space="preserve"> </w:t>
      </w:r>
      <w:proofErr w:type="spellStart"/>
      <w:r w:rsidRPr="00A24A1F">
        <w:rPr>
          <w:color w:val="EE0000"/>
        </w:rPr>
        <w:t>istekleri</w:t>
      </w:r>
      <w:proofErr w:type="spellEnd"/>
      <w:r w:rsidRPr="00A24A1F">
        <w:rPr>
          <w:color w:val="EE0000"/>
        </w:rPr>
        <w:t xml:space="preserve"> </w:t>
      </w:r>
      <w:proofErr w:type="spellStart"/>
      <w:r w:rsidRPr="00A24A1F">
        <w:rPr>
          <w:color w:val="EE0000"/>
        </w:rPr>
        <w:t>doğrultusunda</w:t>
      </w:r>
      <w:proofErr w:type="spellEnd"/>
      <w:r w:rsidRPr="00A24A1F">
        <w:rPr>
          <w:color w:val="EE0000"/>
        </w:rPr>
        <w:t xml:space="preserve"> </w:t>
      </w:r>
      <w:proofErr w:type="spellStart"/>
      <w:r w:rsidRPr="00A24A1F">
        <w:rPr>
          <w:color w:val="EE0000"/>
        </w:rPr>
        <w:t>tasarladık</w:t>
      </w:r>
      <w:proofErr w:type="spellEnd"/>
      <w:r w:rsidRPr="00A24A1F">
        <w:rPr>
          <w:color w:val="EE0000"/>
        </w:rPr>
        <w:t xml:space="preserve"> </w:t>
      </w:r>
      <w:proofErr w:type="spellStart"/>
      <w:r w:rsidRPr="00A24A1F">
        <w:rPr>
          <w:color w:val="EE0000"/>
        </w:rPr>
        <w:t>ve</w:t>
      </w:r>
      <w:proofErr w:type="spellEnd"/>
      <w:r w:rsidRPr="00A24A1F">
        <w:rPr>
          <w:color w:val="EE0000"/>
        </w:rPr>
        <w:t xml:space="preserve"> </w:t>
      </w:r>
      <w:proofErr w:type="spellStart"/>
      <w:r w:rsidRPr="00A24A1F">
        <w:rPr>
          <w:color w:val="EE0000"/>
        </w:rPr>
        <w:t>uyguladık</w:t>
      </w:r>
      <w:proofErr w:type="spellEnd"/>
      <w:r w:rsidRPr="00A24A1F">
        <w:rPr>
          <w:color w:val="EE0000"/>
        </w:rPr>
        <w:t xml:space="preserve">. TORKARMER 2025 Güz planına, öğrencilerin sosyal </w:t>
      </w:r>
      <w:proofErr w:type="spellStart"/>
      <w:r w:rsidRPr="00A24A1F">
        <w:rPr>
          <w:color w:val="EE0000"/>
        </w:rPr>
        <w:t>ve</w:t>
      </w:r>
      <w:proofErr w:type="spellEnd"/>
      <w:r w:rsidRPr="00A24A1F">
        <w:rPr>
          <w:color w:val="EE0000"/>
        </w:rPr>
        <w:t xml:space="preserve"> </w:t>
      </w:r>
      <w:proofErr w:type="spellStart"/>
      <w:r w:rsidRPr="00A24A1F">
        <w:rPr>
          <w:color w:val="EE0000"/>
        </w:rPr>
        <w:t>mesleki</w:t>
      </w:r>
      <w:proofErr w:type="spellEnd"/>
      <w:r w:rsidRPr="00A24A1F">
        <w:rPr>
          <w:color w:val="EE0000"/>
        </w:rPr>
        <w:t xml:space="preserve"> </w:t>
      </w:r>
      <w:proofErr w:type="spellStart"/>
      <w:r w:rsidRPr="00A24A1F">
        <w:rPr>
          <w:color w:val="EE0000"/>
        </w:rPr>
        <w:t>farkındalıklarını</w:t>
      </w:r>
      <w:proofErr w:type="spellEnd"/>
      <w:r w:rsidRPr="00A24A1F">
        <w:rPr>
          <w:color w:val="EE0000"/>
        </w:rPr>
        <w:t xml:space="preserve"> </w:t>
      </w:r>
      <w:proofErr w:type="spellStart"/>
      <w:r w:rsidRPr="00A24A1F">
        <w:rPr>
          <w:color w:val="EE0000"/>
        </w:rPr>
        <w:t>artıracak</w:t>
      </w:r>
      <w:proofErr w:type="spellEnd"/>
      <w:r w:rsidRPr="00A24A1F">
        <w:rPr>
          <w:color w:val="EE0000"/>
        </w:rPr>
        <w:t xml:space="preserve"> yeni </w:t>
      </w:r>
      <w:proofErr w:type="spellStart"/>
      <w:r w:rsidRPr="00A24A1F">
        <w:rPr>
          <w:color w:val="EE0000"/>
        </w:rPr>
        <w:t>paneller</w:t>
      </w:r>
      <w:proofErr w:type="spellEnd"/>
      <w:r w:rsidRPr="00A24A1F">
        <w:rPr>
          <w:color w:val="EE0000"/>
        </w:rPr>
        <w:t xml:space="preserve"> </w:t>
      </w:r>
      <w:proofErr w:type="spellStart"/>
      <w:r w:rsidRPr="00A24A1F">
        <w:rPr>
          <w:color w:val="EE0000"/>
        </w:rPr>
        <w:t>ekle</w:t>
      </w:r>
      <w:r w:rsidR="00A24A1F">
        <w:rPr>
          <w:color w:val="EE0000"/>
        </w:rPr>
        <w:t>necektir</w:t>
      </w:r>
      <w:proofErr w:type="spellEnd"/>
      <w:r w:rsidRPr="00A24A1F">
        <w:rPr>
          <w:color w:val="EE0000"/>
        </w:rPr>
        <w:t>.</w:t>
      </w:r>
      <w:r w:rsidR="00220675">
        <w:rPr>
          <w:color w:val="EE0000"/>
        </w:rPr>
        <w:t xml:space="preserve"> </w:t>
      </w:r>
      <w:proofErr w:type="spellStart"/>
      <w:r w:rsidR="00220675">
        <w:rPr>
          <w:color w:val="EE0000"/>
        </w:rPr>
        <w:t>Özellikle</w:t>
      </w:r>
      <w:proofErr w:type="spellEnd"/>
      <w:r w:rsidR="00220675">
        <w:rPr>
          <w:color w:val="EE0000"/>
        </w:rPr>
        <w:t xml:space="preserve"> </w:t>
      </w:r>
      <w:proofErr w:type="spellStart"/>
      <w:r w:rsidR="00220675">
        <w:rPr>
          <w:color w:val="EE0000"/>
        </w:rPr>
        <w:t>kadın</w:t>
      </w:r>
      <w:proofErr w:type="spellEnd"/>
      <w:r w:rsidR="00220675">
        <w:rPr>
          <w:color w:val="EE0000"/>
        </w:rPr>
        <w:t xml:space="preserve"> </w:t>
      </w:r>
      <w:proofErr w:type="spellStart"/>
      <w:r w:rsidR="00220675">
        <w:rPr>
          <w:color w:val="EE0000"/>
        </w:rPr>
        <w:t>haklarına</w:t>
      </w:r>
      <w:proofErr w:type="spellEnd"/>
      <w:r w:rsidR="00220675">
        <w:rPr>
          <w:color w:val="EE0000"/>
        </w:rPr>
        <w:t xml:space="preserve"> </w:t>
      </w:r>
      <w:proofErr w:type="spellStart"/>
      <w:r w:rsidR="00220675">
        <w:rPr>
          <w:color w:val="EE0000"/>
        </w:rPr>
        <w:t>yönelik</w:t>
      </w:r>
      <w:proofErr w:type="spellEnd"/>
      <w:r w:rsidR="00220675">
        <w:rPr>
          <w:color w:val="EE0000"/>
        </w:rPr>
        <w:t xml:space="preserve"> </w:t>
      </w:r>
      <w:proofErr w:type="spellStart"/>
      <w:r w:rsidR="00220675">
        <w:rPr>
          <w:color w:val="EE0000"/>
        </w:rPr>
        <w:t>olan</w:t>
      </w:r>
      <w:proofErr w:type="spellEnd"/>
      <w:r w:rsidR="00220675">
        <w:rPr>
          <w:color w:val="EE0000"/>
        </w:rPr>
        <w:t xml:space="preserve"> </w:t>
      </w:r>
      <w:proofErr w:type="spellStart"/>
      <w:r w:rsidR="00220675">
        <w:rPr>
          <w:color w:val="EE0000"/>
        </w:rPr>
        <w:t>bu</w:t>
      </w:r>
      <w:proofErr w:type="spellEnd"/>
      <w:r w:rsidR="00220675">
        <w:rPr>
          <w:color w:val="EE0000"/>
        </w:rPr>
        <w:t xml:space="preserve"> </w:t>
      </w:r>
      <w:proofErr w:type="spellStart"/>
      <w:r w:rsidR="00220675">
        <w:rPr>
          <w:color w:val="EE0000"/>
        </w:rPr>
        <w:t>etkinliğimizin</w:t>
      </w:r>
      <w:proofErr w:type="spellEnd"/>
      <w:r w:rsidR="00220675">
        <w:rPr>
          <w:color w:val="EE0000"/>
        </w:rPr>
        <w:t xml:space="preserve"> </w:t>
      </w:r>
      <w:proofErr w:type="spellStart"/>
      <w:r w:rsidR="00220675">
        <w:rPr>
          <w:color w:val="EE0000"/>
        </w:rPr>
        <w:t>geri</w:t>
      </w:r>
      <w:proofErr w:type="spellEnd"/>
      <w:r w:rsidR="00220675">
        <w:rPr>
          <w:color w:val="EE0000"/>
        </w:rPr>
        <w:t xml:space="preserve"> </w:t>
      </w:r>
      <w:proofErr w:type="spellStart"/>
      <w:r w:rsidR="00220675">
        <w:rPr>
          <w:color w:val="EE0000"/>
        </w:rPr>
        <w:t>bildiriminin</w:t>
      </w:r>
      <w:proofErr w:type="spellEnd"/>
      <w:r w:rsidR="00220675">
        <w:rPr>
          <w:color w:val="EE0000"/>
        </w:rPr>
        <w:t xml:space="preserve"> </w:t>
      </w:r>
      <w:proofErr w:type="spellStart"/>
      <w:r w:rsidR="00220675">
        <w:rPr>
          <w:color w:val="EE0000"/>
        </w:rPr>
        <w:t>olumlu</w:t>
      </w:r>
      <w:proofErr w:type="spellEnd"/>
      <w:r w:rsidR="00220675">
        <w:rPr>
          <w:color w:val="EE0000"/>
        </w:rPr>
        <w:t xml:space="preserve"> </w:t>
      </w:r>
      <w:proofErr w:type="spellStart"/>
      <w:r w:rsidR="00220675">
        <w:rPr>
          <w:color w:val="EE0000"/>
        </w:rPr>
        <w:t>olması</w:t>
      </w:r>
      <w:proofErr w:type="spellEnd"/>
      <w:r w:rsidR="00220675">
        <w:rPr>
          <w:color w:val="EE0000"/>
        </w:rPr>
        <w:t xml:space="preserve"> </w:t>
      </w:r>
      <w:proofErr w:type="spellStart"/>
      <w:r w:rsidR="00220675">
        <w:rPr>
          <w:color w:val="EE0000"/>
        </w:rPr>
        <w:t>neticesinde</w:t>
      </w:r>
      <w:proofErr w:type="spellEnd"/>
      <w:r w:rsidR="00220675">
        <w:rPr>
          <w:color w:val="EE0000"/>
        </w:rPr>
        <w:t xml:space="preserve"> </w:t>
      </w:r>
      <w:proofErr w:type="spellStart"/>
      <w:r w:rsidR="00220675">
        <w:rPr>
          <w:color w:val="EE0000"/>
        </w:rPr>
        <w:t>ileride</w:t>
      </w:r>
      <w:proofErr w:type="spellEnd"/>
      <w:r w:rsidR="00220675">
        <w:rPr>
          <w:color w:val="EE0000"/>
        </w:rPr>
        <w:t xml:space="preserve"> </w:t>
      </w:r>
      <w:proofErr w:type="spellStart"/>
      <w:r w:rsidR="00220675">
        <w:rPr>
          <w:color w:val="EE0000"/>
        </w:rPr>
        <w:t>yeniden</w:t>
      </w:r>
      <w:proofErr w:type="spellEnd"/>
      <w:r w:rsidR="00220675">
        <w:rPr>
          <w:color w:val="EE0000"/>
        </w:rPr>
        <w:t xml:space="preserve"> </w:t>
      </w:r>
      <w:proofErr w:type="spellStart"/>
      <w:r w:rsidR="00220675">
        <w:rPr>
          <w:color w:val="EE0000"/>
        </w:rPr>
        <w:t>bir</w:t>
      </w:r>
      <w:proofErr w:type="spellEnd"/>
      <w:r w:rsidR="00220675">
        <w:rPr>
          <w:color w:val="EE0000"/>
        </w:rPr>
        <w:t xml:space="preserve"> </w:t>
      </w:r>
      <w:proofErr w:type="spellStart"/>
      <w:r w:rsidR="00220675">
        <w:rPr>
          <w:color w:val="EE0000"/>
        </w:rPr>
        <w:t>kadın</w:t>
      </w:r>
      <w:proofErr w:type="spellEnd"/>
      <w:r w:rsidR="00220675">
        <w:rPr>
          <w:color w:val="EE0000"/>
        </w:rPr>
        <w:t xml:space="preserve"> </w:t>
      </w:r>
      <w:proofErr w:type="spellStart"/>
      <w:r w:rsidR="00220675">
        <w:rPr>
          <w:color w:val="EE0000"/>
        </w:rPr>
        <w:t>hakları</w:t>
      </w:r>
      <w:proofErr w:type="spellEnd"/>
      <w:r w:rsidR="00220675">
        <w:rPr>
          <w:color w:val="EE0000"/>
        </w:rPr>
        <w:t xml:space="preserve"> </w:t>
      </w:r>
      <w:proofErr w:type="spellStart"/>
      <w:r w:rsidR="00220675">
        <w:rPr>
          <w:color w:val="EE0000"/>
        </w:rPr>
        <w:t>etkinliği</w:t>
      </w:r>
      <w:proofErr w:type="spellEnd"/>
      <w:r w:rsidR="00220675">
        <w:rPr>
          <w:color w:val="EE0000"/>
        </w:rPr>
        <w:t xml:space="preserve"> </w:t>
      </w:r>
      <w:proofErr w:type="spellStart"/>
      <w:r w:rsidR="00220675">
        <w:rPr>
          <w:color w:val="EE0000"/>
        </w:rPr>
        <w:t>yapılması</w:t>
      </w:r>
      <w:proofErr w:type="spellEnd"/>
      <w:r w:rsidR="00220675">
        <w:rPr>
          <w:color w:val="EE0000"/>
        </w:rPr>
        <w:t xml:space="preserve"> </w:t>
      </w:r>
      <w:proofErr w:type="spellStart"/>
      <w:r w:rsidR="00220675">
        <w:rPr>
          <w:color w:val="EE0000"/>
        </w:rPr>
        <w:t>ve</w:t>
      </w:r>
      <w:proofErr w:type="spellEnd"/>
      <w:r w:rsidR="00220675">
        <w:rPr>
          <w:color w:val="EE0000"/>
        </w:rPr>
        <w:t xml:space="preserve"> </w:t>
      </w:r>
      <w:proofErr w:type="spellStart"/>
      <w:r w:rsidR="00220675">
        <w:rPr>
          <w:color w:val="EE0000"/>
        </w:rPr>
        <w:t>dezavantajlı</w:t>
      </w:r>
      <w:proofErr w:type="spellEnd"/>
      <w:r w:rsidR="00220675">
        <w:rPr>
          <w:color w:val="EE0000"/>
        </w:rPr>
        <w:t xml:space="preserve"> </w:t>
      </w:r>
      <w:proofErr w:type="spellStart"/>
      <w:r w:rsidR="00220675">
        <w:rPr>
          <w:color w:val="EE0000"/>
        </w:rPr>
        <w:t>gruplara</w:t>
      </w:r>
      <w:proofErr w:type="spellEnd"/>
      <w:r w:rsidR="00220675">
        <w:rPr>
          <w:color w:val="EE0000"/>
        </w:rPr>
        <w:t xml:space="preserve"> </w:t>
      </w:r>
      <w:proofErr w:type="spellStart"/>
      <w:r w:rsidR="00220675">
        <w:rPr>
          <w:color w:val="EE0000"/>
        </w:rPr>
        <w:t>yönelik</w:t>
      </w:r>
      <w:proofErr w:type="spellEnd"/>
      <w:r w:rsidR="00220675">
        <w:rPr>
          <w:color w:val="EE0000"/>
        </w:rPr>
        <w:t xml:space="preserve"> de </w:t>
      </w:r>
      <w:proofErr w:type="spellStart"/>
      <w:r w:rsidR="00220675">
        <w:rPr>
          <w:color w:val="EE0000"/>
        </w:rPr>
        <w:t>bir</w:t>
      </w:r>
      <w:proofErr w:type="spellEnd"/>
      <w:r w:rsidR="00220675">
        <w:rPr>
          <w:color w:val="EE0000"/>
        </w:rPr>
        <w:t xml:space="preserve"> </w:t>
      </w:r>
      <w:proofErr w:type="spellStart"/>
      <w:r w:rsidR="00220675">
        <w:rPr>
          <w:color w:val="EE0000"/>
        </w:rPr>
        <w:t>etkinlik</w:t>
      </w:r>
      <w:proofErr w:type="spellEnd"/>
      <w:r w:rsidR="00220675">
        <w:rPr>
          <w:color w:val="EE0000"/>
        </w:rPr>
        <w:t xml:space="preserve"> </w:t>
      </w:r>
      <w:proofErr w:type="spellStart"/>
      <w:r w:rsidR="00220675">
        <w:rPr>
          <w:color w:val="EE0000"/>
        </w:rPr>
        <w:t>yapılması</w:t>
      </w:r>
      <w:proofErr w:type="spellEnd"/>
      <w:r w:rsidR="00220675">
        <w:rPr>
          <w:color w:val="EE0000"/>
        </w:rPr>
        <w:t xml:space="preserve"> düşünülmektedir. </w:t>
      </w:r>
      <w:r w:rsidRPr="00A24A1F">
        <w:rPr>
          <w:color w:val="EE0000"/>
        </w:rPr>
        <w:t xml:space="preserve"> </w:t>
      </w:r>
      <w:proofErr w:type="spellStart"/>
      <w:r w:rsidRPr="00A24A1F">
        <w:rPr>
          <w:color w:val="EE0000"/>
        </w:rPr>
        <w:t>Etkinliğin</w:t>
      </w:r>
      <w:proofErr w:type="spellEnd"/>
      <w:r w:rsidRPr="00A24A1F">
        <w:rPr>
          <w:color w:val="EE0000"/>
        </w:rPr>
        <w:t xml:space="preserve"> </w:t>
      </w:r>
      <w:proofErr w:type="spellStart"/>
      <w:r w:rsidRPr="00A24A1F">
        <w:rPr>
          <w:color w:val="EE0000"/>
        </w:rPr>
        <w:t>en</w:t>
      </w:r>
      <w:proofErr w:type="spellEnd"/>
      <w:r w:rsidRPr="00A24A1F">
        <w:rPr>
          <w:color w:val="EE0000"/>
        </w:rPr>
        <w:t xml:space="preserve"> </w:t>
      </w:r>
      <w:proofErr w:type="spellStart"/>
      <w:r w:rsidRPr="00A24A1F">
        <w:rPr>
          <w:color w:val="EE0000"/>
        </w:rPr>
        <w:t>düşük</w:t>
      </w:r>
      <w:proofErr w:type="spellEnd"/>
      <w:r w:rsidRPr="00A24A1F">
        <w:rPr>
          <w:color w:val="EE0000"/>
        </w:rPr>
        <w:t xml:space="preserve"> değerlendirme aldığı organizasyon düzeyi boyutundaki geri bildirimler (4.62/5.00) sonraki planlamada öncelikli odak alanı olarak ele alınacak; genel içerik memnuniyeti boyutundaki güçlü performans (4.80/5.00) ise sürdürülmesi ve geliştirilmesi gereken bir kazanım olarak korunacaktır.</w:t>
      </w:r>
    </w:p>
    <w:p w14:paraId="095457AD" w14:textId="4F24E714" w:rsidR="00566BBB" w:rsidRDefault="00566BBB" w:rsidP="00A24A1F">
      <w:pPr>
        <w:jc w:val="both"/>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A24A1F" w14:paraId="1D97902E" w14:textId="77777777" w:rsidTr="004A5EB4">
        <w:trPr>
          <w:jc w:val="center"/>
        </w:trPr>
        <w:tc>
          <w:tcPr>
            <w:tcW w:w="1968" w:type="dxa"/>
            <w:shd w:val="clear" w:color="auto" w:fill="F9F9F9"/>
          </w:tcPr>
          <w:p w14:paraId="4D250E6B" w14:textId="77777777" w:rsidR="00A24A1F" w:rsidRDefault="00A24A1F" w:rsidP="004A5EB4">
            <w:proofErr w:type="spellStart"/>
            <w:r>
              <w:rPr>
                <w:rFonts w:ascii="Times New Roman" w:hAnsi="Times New Roman"/>
                <w:b/>
                <w:sz w:val="20"/>
              </w:rPr>
              <w:t>Etkinlik</w:t>
            </w:r>
            <w:proofErr w:type="spellEnd"/>
            <w:r>
              <w:rPr>
                <w:rFonts w:ascii="Times New Roman" w:hAnsi="Times New Roman"/>
                <w:b/>
                <w:sz w:val="20"/>
              </w:rPr>
              <w:t xml:space="preserve"> </w:t>
            </w:r>
            <w:proofErr w:type="spellStart"/>
            <w:r>
              <w:rPr>
                <w:rFonts w:ascii="Times New Roman" w:hAnsi="Times New Roman"/>
                <w:b/>
                <w:sz w:val="20"/>
              </w:rPr>
              <w:t>Tarihi</w:t>
            </w:r>
            <w:proofErr w:type="spellEnd"/>
          </w:p>
        </w:tc>
        <w:tc>
          <w:tcPr>
            <w:tcW w:w="3937" w:type="dxa"/>
          </w:tcPr>
          <w:p w14:paraId="21A6F87D" w14:textId="77777777" w:rsidR="00A24A1F" w:rsidRDefault="00A24A1F" w:rsidP="004A5EB4">
            <w:r>
              <w:rPr>
                <w:rFonts w:ascii="Times New Roman" w:hAnsi="Times New Roman"/>
                <w:sz w:val="20"/>
              </w:rPr>
              <w:t>6 Mart 2025</w:t>
            </w:r>
          </w:p>
        </w:tc>
      </w:tr>
      <w:tr w:rsidR="00A24A1F" w14:paraId="35940F2D" w14:textId="77777777" w:rsidTr="004A5EB4">
        <w:trPr>
          <w:jc w:val="center"/>
        </w:trPr>
        <w:tc>
          <w:tcPr>
            <w:tcW w:w="1968" w:type="dxa"/>
            <w:shd w:val="clear" w:color="auto" w:fill="F9F9F9"/>
          </w:tcPr>
          <w:p w14:paraId="5A82F419" w14:textId="77777777" w:rsidR="00A24A1F" w:rsidRDefault="00A24A1F" w:rsidP="004A5EB4">
            <w:proofErr w:type="spellStart"/>
            <w:r>
              <w:rPr>
                <w:rFonts w:ascii="Times New Roman" w:hAnsi="Times New Roman"/>
                <w:b/>
                <w:sz w:val="20"/>
              </w:rPr>
              <w:t>Katılımcı</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6CDB568B" w14:textId="5F9D9903" w:rsidR="00A24A1F" w:rsidRDefault="00A24A1F" w:rsidP="004A5EB4">
            <w:r>
              <w:rPr>
                <w:rFonts w:ascii="Times New Roman" w:hAnsi="Times New Roman"/>
                <w:sz w:val="20"/>
              </w:rPr>
              <w:t xml:space="preserve">170 </w:t>
            </w:r>
            <w:proofErr w:type="spellStart"/>
            <w:r>
              <w:rPr>
                <w:rFonts w:ascii="Times New Roman" w:hAnsi="Times New Roman"/>
                <w:sz w:val="20"/>
              </w:rPr>
              <w:t>Kişi</w:t>
            </w:r>
            <w:proofErr w:type="spellEnd"/>
            <w:r>
              <w:rPr>
                <w:rFonts w:ascii="Times New Roman" w:hAnsi="Times New Roman"/>
                <w:sz w:val="20"/>
              </w:rPr>
              <w:t xml:space="preserve"> </w:t>
            </w:r>
          </w:p>
        </w:tc>
      </w:tr>
      <w:tr w:rsidR="00A24A1F" w14:paraId="4333B791" w14:textId="77777777" w:rsidTr="004A5EB4">
        <w:trPr>
          <w:jc w:val="center"/>
        </w:trPr>
        <w:tc>
          <w:tcPr>
            <w:tcW w:w="1968" w:type="dxa"/>
            <w:shd w:val="clear" w:color="auto" w:fill="F9F9F9"/>
          </w:tcPr>
          <w:p w14:paraId="0C1714C8" w14:textId="77777777" w:rsidR="00A24A1F" w:rsidRDefault="00A24A1F" w:rsidP="004A5EB4">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Yanıt</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6C84F18E" w14:textId="77777777" w:rsidR="00A24A1F" w:rsidRDefault="00A24A1F" w:rsidP="004A5EB4">
            <w:r>
              <w:rPr>
                <w:rFonts w:ascii="Times New Roman" w:hAnsi="Times New Roman"/>
                <w:sz w:val="20"/>
              </w:rPr>
              <w:t xml:space="preserve">155 </w:t>
            </w:r>
            <w:proofErr w:type="spellStart"/>
            <w:r>
              <w:rPr>
                <w:rFonts w:ascii="Times New Roman" w:hAnsi="Times New Roman"/>
                <w:sz w:val="20"/>
              </w:rPr>
              <w:t>Katılımcı</w:t>
            </w:r>
            <w:proofErr w:type="spellEnd"/>
          </w:p>
        </w:tc>
      </w:tr>
      <w:tr w:rsidR="00A24A1F" w14:paraId="66F06E5B" w14:textId="77777777" w:rsidTr="004A5EB4">
        <w:trPr>
          <w:jc w:val="center"/>
        </w:trPr>
        <w:tc>
          <w:tcPr>
            <w:tcW w:w="1968" w:type="dxa"/>
            <w:shd w:val="clear" w:color="auto" w:fill="F9F9F9"/>
          </w:tcPr>
          <w:p w14:paraId="32160D91" w14:textId="77777777" w:rsidR="00A24A1F" w:rsidRDefault="00A24A1F" w:rsidP="004A5EB4">
            <w:proofErr w:type="spellStart"/>
            <w:r>
              <w:rPr>
                <w:rFonts w:ascii="Times New Roman" w:hAnsi="Times New Roman"/>
                <w:b/>
                <w:sz w:val="20"/>
              </w:rPr>
              <w:t>Katılım</w:t>
            </w:r>
            <w:proofErr w:type="spellEnd"/>
            <w:r>
              <w:rPr>
                <w:rFonts w:ascii="Times New Roman" w:hAnsi="Times New Roman"/>
                <w:b/>
                <w:sz w:val="20"/>
              </w:rPr>
              <w:t xml:space="preserve"> / </w:t>
            </w:r>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Dönüş</w:t>
            </w:r>
            <w:proofErr w:type="spellEnd"/>
            <w:r>
              <w:rPr>
                <w:rFonts w:ascii="Times New Roman" w:hAnsi="Times New Roman"/>
                <w:b/>
                <w:sz w:val="20"/>
              </w:rPr>
              <w:t xml:space="preserve"> </w:t>
            </w:r>
            <w:proofErr w:type="spellStart"/>
            <w:r>
              <w:rPr>
                <w:rFonts w:ascii="Times New Roman" w:hAnsi="Times New Roman"/>
                <w:b/>
                <w:sz w:val="20"/>
              </w:rPr>
              <w:t>Oranı</w:t>
            </w:r>
            <w:proofErr w:type="spellEnd"/>
          </w:p>
        </w:tc>
        <w:tc>
          <w:tcPr>
            <w:tcW w:w="3937" w:type="dxa"/>
          </w:tcPr>
          <w:p w14:paraId="13134FFE" w14:textId="77777777" w:rsidR="00A24A1F" w:rsidRDefault="00A24A1F" w:rsidP="004A5EB4">
            <w:r>
              <w:rPr>
                <w:rFonts w:ascii="Times New Roman" w:hAnsi="Times New Roman"/>
                <w:sz w:val="20"/>
              </w:rPr>
              <w:t>%91.0</w:t>
            </w:r>
          </w:p>
        </w:tc>
      </w:tr>
      <w:tr w:rsidR="00A24A1F" w14:paraId="248276A4" w14:textId="77777777" w:rsidTr="004A5EB4">
        <w:trPr>
          <w:jc w:val="center"/>
        </w:trPr>
        <w:tc>
          <w:tcPr>
            <w:tcW w:w="1968" w:type="dxa"/>
            <w:shd w:val="clear" w:color="auto" w:fill="F9F9F9"/>
          </w:tcPr>
          <w:p w14:paraId="30C683E8" w14:textId="77777777" w:rsidR="00A24A1F" w:rsidRDefault="00A24A1F" w:rsidP="004A5EB4">
            <w:r>
              <w:rPr>
                <w:rFonts w:ascii="Times New Roman" w:hAnsi="Times New Roman"/>
                <w:b/>
                <w:sz w:val="20"/>
              </w:rPr>
              <w:t xml:space="preserve">Genel </w:t>
            </w:r>
            <w:proofErr w:type="spellStart"/>
            <w:r>
              <w:rPr>
                <w:rFonts w:ascii="Times New Roman" w:hAnsi="Times New Roman"/>
                <w:b/>
                <w:sz w:val="20"/>
              </w:rPr>
              <w:t>Ortalama</w:t>
            </w:r>
            <w:proofErr w:type="spellEnd"/>
            <w:r>
              <w:rPr>
                <w:rFonts w:ascii="Times New Roman" w:hAnsi="Times New Roman"/>
                <w:b/>
                <w:sz w:val="20"/>
              </w:rPr>
              <w:t xml:space="preserve"> </w:t>
            </w:r>
            <w:proofErr w:type="spellStart"/>
            <w:r>
              <w:rPr>
                <w:rFonts w:ascii="Times New Roman" w:hAnsi="Times New Roman"/>
                <w:b/>
                <w:sz w:val="20"/>
              </w:rPr>
              <w:t>Memnuniyet</w:t>
            </w:r>
            <w:proofErr w:type="spellEnd"/>
          </w:p>
        </w:tc>
        <w:tc>
          <w:tcPr>
            <w:tcW w:w="3937" w:type="dxa"/>
          </w:tcPr>
          <w:p w14:paraId="4ABF35DF" w14:textId="77777777" w:rsidR="00A24A1F" w:rsidRDefault="00A24A1F" w:rsidP="004A5EB4">
            <w:r>
              <w:rPr>
                <w:rFonts w:ascii="Times New Roman" w:hAnsi="Times New Roman"/>
                <w:sz w:val="20"/>
              </w:rPr>
              <w:t>4.72 / 5.00</w:t>
            </w:r>
          </w:p>
        </w:tc>
      </w:tr>
    </w:tbl>
    <w:p w14:paraId="7D1A7809" w14:textId="77777777" w:rsidR="00A24A1F" w:rsidRDefault="00A24A1F" w:rsidP="00A24A1F">
      <w:pPr>
        <w:jc w:val="both"/>
      </w:pPr>
    </w:p>
    <w:p w14:paraId="273EF194" w14:textId="77777777" w:rsidR="00A24A1F" w:rsidRDefault="00A24A1F" w:rsidP="00A24A1F">
      <w:pPr>
        <w:jc w:val="both"/>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501"/>
        <w:gridCol w:w="850"/>
        <w:gridCol w:w="590"/>
      </w:tblGrid>
      <w:tr w:rsidR="00A24A1F" w14:paraId="13728A10" w14:textId="77777777" w:rsidTr="004A5EB4">
        <w:trPr>
          <w:jc w:val="center"/>
        </w:trPr>
        <w:tc>
          <w:tcPr>
            <w:tcW w:w="1771" w:type="dxa"/>
            <w:shd w:val="clear" w:color="auto" w:fill="ECECEC"/>
          </w:tcPr>
          <w:p w14:paraId="347C8DB8" w14:textId="77777777" w:rsidR="00A24A1F" w:rsidRDefault="00A24A1F"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29558D08" w14:textId="77777777" w:rsidR="00A24A1F" w:rsidRDefault="00A24A1F" w:rsidP="004A5EB4">
            <w:r>
              <w:rPr>
                <w:rFonts w:ascii="Times New Roman" w:hAnsi="Times New Roman"/>
                <w:b/>
                <w:sz w:val="19"/>
              </w:rPr>
              <w:t>1</w:t>
            </w:r>
          </w:p>
        </w:tc>
        <w:tc>
          <w:tcPr>
            <w:tcW w:w="472" w:type="dxa"/>
            <w:shd w:val="clear" w:color="auto" w:fill="ECECEC"/>
          </w:tcPr>
          <w:p w14:paraId="521046CB" w14:textId="77777777" w:rsidR="00A24A1F" w:rsidRDefault="00A24A1F" w:rsidP="004A5EB4">
            <w:r>
              <w:rPr>
                <w:rFonts w:ascii="Times New Roman" w:hAnsi="Times New Roman"/>
                <w:b/>
                <w:sz w:val="19"/>
              </w:rPr>
              <w:t>2</w:t>
            </w:r>
          </w:p>
        </w:tc>
        <w:tc>
          <w:tcPr>
            <w:tcW w:w="472" w:type="dxa"/>
            <w:shd w:val="clear" w:color="auto" w:fill="ECECEC"/>
          </w:tcPr>
          <w:p w14:paraId="5578C03F" w14:textId="77777777" w:rsidR="00A24A1F" w:rsidRDefault="00A24A1F" w:rsidP="004A5EB4">
            <w:r>
              <w:rPr>
                <w:rFonts w:ascii="Times New Roman" w:hAnsi="Times New Roman"/>
                <w:b/>
                <w:sz w:val="19"/>
              </w:rPr>
              <w:t>3</w:t>
            </w:r>
          </w:p>
        </w:tc>
        <w:tc>
          <w:tcPr>
            <w:tcW w:w="472" w:type="dxa"/>
            <w:shd w:val="clear" w:color="auto" w:fill="ECECEC"/>
          </w:tcPr>
          <w:p w14:paraId="14741D50" w14:textId="77777777" w:rsidR="00A24A1F" w:rsidRDefault="00A24A1F" w:rsidP="004A5EB4">
            <w:r>
              <w:rPr>
                <w:rFonts w:ascii="Times New Roman" w:hAnsi="Times New Roman"/>
                <w:b/>
                <w:sz w:val="19"/>
              </w:rPr>
              <w:t>4</w:t>
            </w:r>
          </w:p>
        </w:tc>
        <w:tc>
          <w:tcPr>
            <w:tcW w:w="472" w:type="dxa"/>
            <w:shd w:val="clear" w:color="auto" w:fill="ECECEC"/>
          </w:tcPr>
          <w:p w14:paraId="4595332B" w14:textId="77777777" w:rsidR="00A24A1F" w:rsidRDefault="00A24A1F" w:rsidP="004A5EB4">
            <w:r>
              <w:rPr>
                <w:rFonts w:ascii="Times New Roman" w:hAnsi="Times New Roman"/>
                <w:b/>
                <w:sz w:val="19"/>
              </w:rPr>
              <w:t>5</w:t>
            </w:r>
          </w:p>
        </w:tc>
        <w:tc>
          <w:tcPr>
            <w:tcW w:w="590" w:type="dxa"/>
            <w:shd w:val="clear" w:color="auto" w:fill="ECECEC"/>
          </w:tcPr>
          <w:p w14:paraId="07D8DFCD" w14:textId="77777777" w:rsidR="00A24A1F" w:rsidRDefault="00A24A1F" w:rsidP="004A5EB4">
            <w:proofErr w:type="spellStart"/>
            <w:r>
              <w:rPr>
                <w:rFonts w:ascii="Times New Roman" w:hAnsi="Times New Roman"/>
                <w:b/>
                <w:sz w:val="19"/>
              </w:rPr>
              <w:t>Toplam</w:t>
            </w:r>
            <w:proofErr w:type="spellEnd"/>
          </w:p>
        </w:tc>
        <w:tc>
          <w:tcPr>
            <w:tcW w:w="590" w:type="dxa"/>
            <w:shd w:val="clear" w:color="auto" w:fill="ECECEC"/>
          </w:tcPr>
          <w:p w14:paraId="260E7385" w14:textId="77777777" w:rsidR="00A24A1F" w:rsidRDefault="00A24A1F" w:rsidP="004A5EB4">
            <w:r>
              <w:rPr>
                <w:rFonts w:ascii="Times New Roman" w:hAnsi="Times New Roman"/>
                <w:b/>
                <w:sz w:val="19"/>
              </w:rPr>
              <w:t>Ort.</w:t>
            </w:r>
          </w:p>
        </w:tc>
      </w:tr>
      <w:tr w:rsidR="00A24A1F" w14:paraId="1863AAE2" w14:textId="77777777" w:rsidTr="004A5EB4">
        <w:trPr>
          <w:jc w:val="center"/>
        </w:trPr>
        <w:tc>
          <w:tcPr>
            <w:tcW w:w="1771" w:type="dxa"/>
          </w:tcPr>
          <w:p w14:paraId="2C274C00" w14:textId="77777777" w:rsidR="00A24A1F" w:rsidRDefault="00A24A1F"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7A9B5AB6" w14:textId="77777777" w:rsidR="00A24A1F" w:rsidRDefault="00A24A1F" w:rsidP="004A5EB4">
            <w:pPr>
              <w:jc w:val="center"/>
            </w:pPr>
            <w:r>
              <w:rPr>
                <w:rFonts w:ascii="Times New Roman" w:hAnsi="Times New Roman"/>
                <w:sz w:val="19"/>
              </w:rPr>
              <w:t>0</w:t>
            </w:r>
          </w:p>
        </w:tc>
        <w:tc>
          <w:tcPr>
            <w:tcW w:w="472" w:type="dxa"/>
          </w:tcPr>
          <w:p w14:paraId="34F3F998" w14:textId="77777777" w:rsidR="00A24A1F" w:rsidRDefault="00A24A1F" w:rsidP="004A5EB4">
            <w:pPr>
              <w:jc w:val="center"/>
            </w:pPr>
            <w:r>
              <w:rPr>
                <w:rFonts w:ascii="Times New Roman" w:hAnsi="Times New Roman"/>
                <w:sz w:val="19"/>
              </w:rPr>
              <w:t>0</w:t>
            </w:r>
          </w:p>
        </w:tc>
        <w:tc>
          <w:tcPr>
            <w:tcW w:w="472" w:type="dxa"/>
          </w:tcPr>
          <w:p w14:paraId="0EBB1144" w14:textId="77777777" w:rsidR="00A24A1F" w:rsidRDefault="00A24A1F" w:rsidP="004A5EB4">
            <w:pPr>
              <w:jc w:val="center"/>
            </w:pPr>
            <w:r>
              <w:rPr>
                <w:rFonts w:ascii="Times New Roman" w:hAnsi="Times New Roman"/>
                <w:sz w:val="19"/>
              </w:rPr>
              <w:t>3</w:t>
            </w:r>
          </w:p>
        </w:tc>
        <w:tc>
          <w:tcPr>
            <w:tcW w:w="472" w:type="dxa"/>
          </w:tcPr>
          <w:p w14:paraId="39921766" w14:textId="77777777" w:rsidR="00A24A1F" w:rsidRDefault="00A24A1F" w:rsidP="004A5EB4">
            <w:pPr>
              <w:jc w:val="center"/>
            </w:pPr>
            <w:r>
              <w:rPr>
                <w:rFonts w:ascii="Times New Roman" w:hAnsi="Times New Roman"/>
                <w:sz w:val="19"/>
              </w:rPr>
              <w:t>34</w:t>
            </w:r>
          </w:p>
        </w:tc>
        <w:tc>
          <w:tcPr>
            <w:tcW w:w="472" w:type="dxa"/>
          </w:tcPr>
          <w:p w14:paraId="349878A6" w14:textId="77777777" w:rsidR="00A24A1F" w:rsidRDefault="00A24A1F" w:rsidP="004A5EB4">
            <w:pPr>
              <w:jc w:val="center"/>
            </w:pPr>
            <w:r>
              <w:rPr>
                <w:rFonts w:ascii="Times New Roman" w:hAnsi="Times New Roman"/>
                <w:sz w:val="19"/>
              </w:rPr>
              <w:t>118</w:t>
            </w:r>
          </w:p>
        </w:tc>
        <w:tc>
          <w:tcPr>
            <w:tcW w:w="590" w:type="dxa"/>
          </w:tcPr>
          <w:p w14:paraId="585954EA" w14:textId="77777777" w:rsidR="00A24A1F" w:rsidRDefault="00A24A1F" w:rsidP="004A5EB4">
            <w:pPr>
              <w:jc w:val="center"/>
            </w:pPr>
            <w:r>
              <w:rPr>
                <w:rFonts w:ascii="Times New Roman" w:hAnsi="Times New Roman"/>
                <w:sz w:val="19"/>
              </w:rPr>
              <w:t>155</w:t>
            </w:r>
          </w:p>
        </w:tc>
        <w:tc>
          <w:tcPr>
            <w:tcW w:w="590" w:type="dxa"/>
          </w:tcPr>
          <w:p w14:paraId="761B8253" w14:textId="77777777" w:rsidR="00A24A1F" w:rsidRDefault="00A24A1F" w:rsidP="004A5EB4">
            <w:pPr>
              <w:jc w:val="center"/>
            </w:pPr>
            <w:r>
              <w:rPr>
                <w:rFonts w:ascii="Times New Roman" w:hAnsi="Times New Roman"/>
                <w:b/>
                <w:sz w:val="19"/>
              </w:rPr>
              <w:t>4.80</w:t>
            </w:r>
          </w:p>
        </w:tc>
      </w:tr>
      <w:tr w:rsidR="00A24A1F" w14:paraId="113A30F1" w14:textId="77777777" w:rsidTr="004A5EB4">
        <w:trPr>
          <w:jc w:val="center"/>
        </w:trPr>
        <w:tc>
          <w:tcPr>
            <w:tcW w:w="1771" w:type="dxa"/>
          </w:tcPr>
          <w:p w14:paraId="429F55FA" w14:textId="77777777" w:rsidR="00A24A1F" w:rsidRDefault="00A24A1F"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75B2224C" w14:textId="77777777" w:rsidR="00A24A1F" w:rsidRDefault="00A24A1F" w:rsidP="004A5EB4">
            <w:pPr>
              <w:jc w:val="center"/>
            </w:pPr>
            <w:r>
              <w:rPr>
                <w:rFonts w:ascii="Times New Roman" w:hAnsi="Times New Roman"/>
                <w:sz w:val="19"/>
              </w:rPr>
              <w:t>0</w:t>
            </w:r>
          </w:p>
        </w:tc>
        <w:tc>
          <w:tcPr>
            <w:tcW w:w="472" w:type="dxa"/>
          </w:tcPr>
          <w:p w14:paraId="4DDAAC94" w14:textId="77777777" w:rsidR="00A24A1F" w:rsidRDefault="00A24A1F" w:rsidP="004A5EB4">
            <w:pPr>
              <w:jc w:val="center"/>
            </w:pPr>
            <w:r>
              <w:rPr>
                <w:rFonts w:ascii="Times New Roman" w:hAnsi="Times New Roman"/>
                <w:sz w:val="19"/>
              </w:rPr>
              <w:t>0</w:t>
            </w:r>
          </w:p>
        </w:tc>
        <w:tc>
          <w:tcPr>
            <w:tcW w:w="472" w:type="dxa"/>
          </w:tcPr>
          <w:p w14:paraId="591B840E" w14:textId="77777777" w:rsidR="00A24A1F" w:rsidRDefault="00A24A1F" w:rsidP="004A5EB4">
            <w:pPr>
              <w:jc w:val="center"/>
            </w:pPr>
            <w:r>
              <w:rPr>
                <w:rFonts w:ascii="Times New Roman" w:hAnsi="Times New Roman"/>
                <w:sz w:val="19"/>
              </w:rPr>
              <w:t>7</w:t>
            </w:r>
          </w:p>
        </w:tc>
        <w:tc>
          <w:tcPr>
            <w:tcW w:w="472" w:type="dxa"/>
          </w:tcPr>
          <w:p w14:paraId="0FA5E235" w14:textId="77777777" w:rsidR="00A24A1F" w:rsidRDefault="00A24A1F" w:rsidP="004A5EB4">
            <w:pPr>
              <w:jc w:val="center"/>
            </w:pPr>
            <w:r>
              <w:rPr>
                <w:rFonts w:ascii="Times New Roman" w:hAnsi="Times New Roman"/>
                <w:sz w:val="19"/>
              </w:rPr>
              <w:t>59</w:t>
            </w:r>
          </w:p>
        </w:tc>
        <w:tc>
          <w:tcPr>
            <w:tcW w:w="472" w:type="dxa"/>
          </w:tcPr>
          <w:p w14:paraId="69E3CBEA" w14:textId="77777777" w:rsidR="00A24A1F" w:rsidRDefault="00A24A1F" w:rsidP="004A5EB4">
            <w:pPr>
              <w:jc w:val="center"/>
            </w:pPr>
            <w:r>
              <w:rPr>
                <w:rFonts w:ascii="Times New Roman" w:hAnsi="Times New Roman"/>
                <w:sz w:val="19"/>
              </w:rPr>
              <w:t>89</w:t>
            </w:r>
          </w:p>
        </w:tc>
        <w:tc>
          <w:tcPr>
            <w:tcW w:w="590" w:type="dxa"/>
          </w:tcPr>
          <w:p w14:paraId="6312C6D8" w14:textId="77777777" w:rsidR="00A24A1F" w:rsidRDefault="00A24A1F" w:rsidP="004A5EB4">
            <w:pPr>
              <w:jc w:val="center"/>
            </w:pPr>
            <w:r>
              <w:rPr>
                <w:rFonts w:ascii="Times New Roman" w:hAnsi="Times New Roman"/>
                <w:sz w:val="19"/>
              </w:rPr>
              <w:t>155</w:t>
            </w:r>
          </w:p>
        </w:tc>
        <w:tc>
          <w:tcPr>
            <w:tcW w:w="590" w:type="dxa"/>
          </w:tcPr>
          <w:p w14:paraId="62632974" w14:textId="77777777" w:rsidR="00A24A1F" w:rsidRDefault="00A24A1F" w:rsidP="004A5EB4">
            <w:pPr>
              <w:jc w:val="center"/>
            </w:pPr>
            <w:r>
              <w:rPr>
                <w:rFonts w:ascii="Times New Roman" w:hAnsi="Times New Roman"/>
                <w:b/>
                <w:sz w:val="19"/>
              </w:rPr>
              <w:t>4.70</w:t>
            </w:r>
          </w:p>
        </w:tc>
      </w:tr>
      <w:tr w:rsidR="00A24A1F" w14:paraId="61004AF3" w14:textId="77777777" w:rsidTr="004A5EB4">
        <w:trPr>
          <w:jc w:val="center"/>
        </w:trPr>
        <w:tc>
          <w:tcPr>
            <w:tcW w:w="1771" w:type="dxa"/>
          </w:tcPr>
          <w:p w14:paraId="00745350" w14:textId="77777777" w:rsidR="00A24A1F" w:rsidRDefault="00A24A1F"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09ACDBAA" w14:textId="77777777" w:rsidR="00A24A1F" w:rsidRDefault="00A24A1F" w:rsidP="004A5EB4">
            <w:pPr>
              <w:jc w:val="center"/>
            </w:pPr>
            <w:r>
              <w:rPr>
                <w:rFonts w:ascii="Times New Roman" w:hAnsi="Times New Roman"/>
                <w:sz w:val="19"/>
              </w:rPr>
              <w:t>0</w:t>
            </w:r>
          </w:p>
        </w:tc>
        <w:tc>
          <w:tcPr>
            <w:tcW w:w="472" w:type="dxa"/>
          </w:tcPr>
          <w:p w14:paraId="4773B3B1" w14:textId="77777777" w:rsidR="00A24A1F" w:rsidRDefault="00A24A1F" w:rsidP="004A5EB4">
            <w:pPr>
              <w:jc w:val="center"/>
            </w:pPr>
            <w:r>
              <w:rPr>
                <w:rFonts w:ascii="Times New Roman" w:hAnsi="Times New Roman"/>
                <w:sz w:val="19"/>
              </w:rPr>
              <w:t>0</w:t>
            </w:r>
          </w:p>
        </w:tc>
        <w:tc>
          <w:tcPr>
            <w:tcW w:w="472" w:type="dxa"/>
          </w:tcPr>
          <w:p w14:paraId="3CC175B7" w14:textId="77777777" w:rsidR="00A24A1F" w:rsidRDefault="00A24A1F" w:rsidP="004A5EB4">
            <w:pPr>
              <w:jc w:val="center"/>
            </w:pPr>
            <w:r>
              <w:rPr>
                <w:rFonts w:ascii="Times New Roman" w:hAnsi="Times New Roman"/>
                <w:sz w:val="19"/>
              </w:rPr>
              <w:t>2</w:t>
            </w:r>
          </w:p>
        </w:tc>
        <w:tc>
          <w:tcPr>
            <w:tcW w:w="472" w:type="dxa"/>
          </w:tcPr>
          <w:p w14:paraId="64CDB88F" w14:textId="77777777" w:rsidR="00A24A1F" w:rsidRDefault="00A24A1F" w:rsidP="004A5EB4">
            <w:pPr>
              <w:jc w:val="center"/>
            </w:pPr>
            <w:r>
              <w:rPr>
                <w:rFonts w:ascii="Times New Roman" w:hAnsi="Times New Roman"/>
                <w:sz w:val="19"/>
              </w:rPr>
              <w:t>56</w:t>
            </w:r>
          </w:p>
        </w:tc>
        <w:tc>
          <w:tcPr>
            <w:tcW w:w="472" w:type="dxa"/>
          </w:tcPr>
          <w:p w14:paraId="432E1FF0" w14:textId="77777777" w:rsidR="00A24A1F" w:rsidRDefault="00A24A1F" w:rsidP="004A5EB4">
            <w:pPr>
              <w:jc w:val="center"/>
            </w:pPr>
            <w:r>
              <w:rPr>
                <w:rFonts w:ascii="Times New Roman" w:hAnsi="Times New Roman"/>
                <w:sz w:val="19"/>
              </w:rPr>
              <w:t>97</w:t>
            </w:r>
          </w:p>
        </w:tc>
        <w:tc>
          <w:tcPr>
            <w:tcW w:w="590" w:type="dxa"/>
          </w:tcPr>
          <w:p w14:paraId="5B8C19CB" w14:textId="77777777" w:rsidR="00A24A1F" w:rsidRDefault="00A24A1F" w:rsidP="004A5EB4">
            <w:pPr>
              <w:jc w:val="center"/>
            </w:pPr>
            <w:r>
              <w:rPr>
                <w:rFonts w:ascii="Times New Roman" w:hAnsi="Times New Roman"/>
                <w:sz w:val="19"/>
              </w:rPr>
              <w:t>155</w:t>
            </w:r>
          </w:p>
        </w:tc>
        <w:tc>
          <w:tcPr>
            <w:tcW w:w="590" w:type="dxa"/>
          </w:tcPr>
          <w:p w14:paraId="28C67842" w14:textId="77777777" w:rsidR="00A24A1F" w:rsidRDefault="00A24A1F" w:rsidP="004A5EB4">
            <w:pPr>
              <w:jc w:val="center"/>
            </w:pPr>
            <w:r>
              <w:rPr>
                <w:rFonts w:ascii="Times New Roman" w:hAnsi="Times New Roman"/>
                <w:b/>
                <w:sz w:val="19"/>
              </w:rPr>
              <w:t>4.80</w:t>
            </w:r>
          </w:p>
        </w:tc>
      </w:tr>
      <w:tr w:rsidR="00A24A1F" w14:paraId="07C4D300" w14:textId="77777777" w:rsidTr="004A5EB4">
        <w:trPr>
          <w:jc w:val="center"/>
        </w:trPr>
        <w:tc>
          <w:tcPr>
            <w:tcW w:w="1771" w:type="dxa"/>
          </w:tcPr>
          <w:p w14:paraId="63483759" w14:textId="77777777" w:rsidR="00A24A1F" w:rsidRDefault="00A24A1F"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648040D3" w14:textId="77777777" w:rsidR="00A24A1F" w:rsidRDefault="00A24A1F" w:rsidP="004A5EB4">
            <w:pPr>
              <w:jc w:val="center"/>
            </w:pPr>
            <w:r>
              <w:rPr>
                <w:rFonts w:ascii="Times New Roman" w:hAnsi="Times New Roman"/>
                <w:sz w:val="19"/>
              </w:rPr>
              <w:t>0</w:t>
            </w:r>
          </w:p>
        </w:tc>
        <w:tc>
          <w:tcPr>
            <w:tcW w:w="472" w:type="dxa"/>
          </w:tcPr>
          <w:p w14:paraId="2743C348" w14:textId="77777777" w:rsidR="00A24A1F" w:rsidRDefault="00A24A1F" w:rsidP="004A5EB4">
            <w:pPr>
              <w:jc w:val="center"/>
            </w:pPr>
            <w:r>
              <w:rPr>
                <w:rFonts w:ascii="Times New Roman" w:hAnsi="Times New Roman"/>
                <w:sz w:val="19"/>
              </w:rPr>
              <w:t>0</w:t>
            </w:r>
          </w:p>
        </w:tc>
        <w:tc>
          <w:tcPr>
            <w:tcW w:w="472" w:type="dxa"/>
          </w:tcPr>
          <w:p w14:paraId="6DA778D2" w14:textId="77777777" w:rsidR="00A24A1F" w:rsidRDefault="00A24A1F" w:rsidP="004A5EB4">
            <w:pPr>
              <w:jc w:val="center"/>
            </w:pPr>
            <w:r>
              <w:rPr>
                <w:rFonts w:ascii="Times New Roman" w:hAnsi="Times New Roman"/>
                <w:sz w:val="19"/>
              </w:rPr>
              <w:t>4</w:t>
            </w:r>
          </w:p>
        </w:tc>
        <w:tc>
          <w:tcPr>
            <w:tcW w:w="472" w:type="dxa"/>
          </w:tcPr>
          <w:p w14:paraId="4CD2FE0F" w14:textId="77777777" w:rsidR="00A24A1F" w:rsidRDefault="00A24A1F" w:rsidP="004A5EB4">
            <w:pPr>
              <w:jc w:val="center"/>
            </w:pPr>
            <w:r>
              <w:rPr>
                <w:rFonts w:ascii="Times New Roman" w:hAnsi="Times New Roman"/>
                <w:sz w:val="19"/>
              </w:rPr>
              <w:t>64</w:t>
            </w:r>
          </w:p>
        </w:tc>
        <w:tc>
          <w:tcPr>
            <w:tcW w:w="472" w:type="dxa"/>
          </w:tcPr>
          <w:p w14:paraId="55696355" w14:textId="77777777" w:rsidR="00A24A1F" w:rsidRDefault="00A24A1F" w:rsidP="004A5EB4">
            <w:pPr>
              <w:jc w:val="center"/>
            </w:pPr>
            <w:r>
              <w:rPr>
                <w:rFonts w:ascii="Times New Roman" w:hAnsi="Times New Roman"/>
                <w:sz w:val="19"/>
              </w:rPr>
              <w:t>87</w:t>
            </w:r>
          </w:p>
        </w:tc>
        <w:tc>
          <w:tcPr>
            <w:tcW w:w="590" w:type="dxa"/>
          </w:tcPr>
          <w:p w14:paraId="4714A492" w14:textId="77777777" w:rsidR="00A24A1F" w:rsidRDefault="00A24A1F" w:rsidP="004A5EB4">
            <w:pPr>
              <w:jc w:val="center"/>
            </w:pPr>
            <w:r>
              <w:rPr>
                <w:rFonts w:ascii="Times New Roman" w:hAnsi="Times New Roman"/>
                <w:sz w:val="19"/>
              </w:rPr>
              <w:t>155</w:t>
            </w:r>
          </w:p>
        </w:tc>
        <w:tc>
          <w:tcPr>
            <w:tcW w:w="590" w:type="dxa"/>
          </w:tcPr>
          <w:p w14:paraId="7DFA5611" w14:textId="77777777" w:rsidR="00A24A1F" w:rsidRDefault="00A24A1F" w:rsidP="004A5EB4">
            <w:pPr>
              <w:jc w:val="center"/>
            </w:pPr>
            <w:r>
              <w:rPr>
                <w:rFonts w:ascii="Times New Roman" w:hAnsi="Times New Roman"/>
                <w:b/>
                <w:sz w:val="19"/>
              </w:rPr>
              <w:t>4.62</w:t>
            </w:r>
          </w:p>
        </w:tc>
      </w:tr>
      <w:tr w:rsidR="00A24A1F" w14:paraId="31C0644F" w14:textId="77777777" w:rsidTr="004A5EB4">
        <w:trPr>
          <w:jc w:val="center"/>
        </w:trPr>
        <w:tc>
          <w:tcPr>
            <w:tcW w:w="1771" w:type="dxa"/>
          </w:tcPr>
          <w:p w14:paraId="24DF4E31" w14:textId="77777777" w:rsidR="00A24A1F" w:rsidRDefault="00A24A1F"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lastRenderedPageBreak/>
              <w:t>İsteği</w:t>
            </w:r>
            <w:proofErr w:type="spellEnd"/>
          </w:p>
        </w:tc>
        <w:tc>
          <w:tcPr>
            <w:tcW w:w="472" w:type="dxa"/>
          </w:tcPr>
          <w:p w14:paraId="25C76134" w14:textId="77777777" w:rsidR="00A24A1F" w:rsidRDefault="00A24A1F" w:rsidP="004A5EB4">
            <w:pPr>
              <w:jc w:val="center"/>
            </w:pPr>
            <w:r>
              <w:rPr>
                <w:rFonts w:ascii="Times New Roman" w:hAnsi="Times New Roman"/>
                <w:sz w:val="19"/>
              </w:rPr>
              <w:lastRenderedPageBreak/>
              <w:t>0</w:t>
            </w:r>
          </w:p>
        </w:tc>
        <w:tc>
          <w:tcPr>
            <w:tcW w:w="472" w:type="dxa"/>
          </w:tcPr>
          <w:p w14:paraId="6CE8D297" w14:textId="77777777" w:rsidR="00A24A1F" w:rsidRDefault="00A24A1F" w:rsidP="004A5EB4">
            <w:pPr>
              <w:jc w:val="center"/>
            </w:pPr>
            <w:r>
              <w:rPr>
                <w:rFonts w:ascii="Times New Roman" w:hAnsi="Times New Roman"/>
                <w:sz w:val="19"/>
              </w:rPr>
              <w:t>0</w:t>
            </w:r>
          </w:p>
        </w:tc>
        <w:tc>
          <w:tcPr>
            <w:tcW w:w="472" w:type="dxa"/>
          </w:tcPr>
          <w:p w14:paraId="3AE3EEBB" w14:textId="77777777" w:rsidR="00A24A1F" w:rsidRDefault="00A24A1F" w:rsidP="004A5EB4">
            <w:pPr>
              <w:jc w:val="center"/>
            </w:pPr>
            <w:r>
              <w:rPr>
                <w:rFonts w:ascii="Times New Roman" w:hAnsi="Times New Roman"/>
                <w:sz w:val="19"/>
              </w:rPr>
              <w:t>4</w:t>
            </w:r>
          </w:p>
        </w:tc>
        <w:tc>
          <w:tcPr>
            <w:tcW w:w="472" w:type="dxa"/>
          </w:tcPr>
          <w:p w14:paraId="554A49C8" w14:textId="77777777" w:rsidR="00A24A1F" w:rsidRDefault="00A24A1F" w:rsidP="004A5EB4">
            <w:pPr>
              <w:jc w:val="center"/>
            </w:pPr>
            <w:r>
              <w:rPr>
                <w:rFonts w:ascii="Times New Roman" w:hAnsi="Times New Roman"/>
                <w:sz w:val="19"/>
              </w:rPr>
              <w:t>52</w:t>
            </w:r>
          </w:p>
        </w:tc>
        <w:tc>
          <w:tcPr>
            <w:tcW w:w="472" w:type="dxa"/>
          </w:tcPr>
          <w:p w14:paraId="1DFD734C" w14:textId="77777777" w:rsidR="00A24A1F" w:rsidRDefault="00A24A1F" w:rsidP="004A5EB4">
            <w:pPr>
              <w:jc w:val="center"/>
            </w:pPr>
            <w:r>
              <w:rPr>
                <w:rFonts w:ascii="Times New Roman" w:hAnsi="Times New Roman"/>
                <w:sz w:val="19"/>
              </w:rPr>
              <w:t>99</w:t>
            </w:r>
          </w:p>
        </w:tc>
        <w:tc>
          <w:tcPr>
            <w:tcW w:w="590" w:type="dxa"/>
          </w:tcPr>
          <w:p w14:paraId="1F3CE4D5" w14:textId="77777777" w:rsidR="00A24A1F" w:rsidRDefault="00A24A1F" w:rsidP="004A5EB4">
            <w:pPr>
              <w:jc w:val="center"/>
            </w:pPr>
            <w:r>
              <w:rPr>
                <w:rFonts w:ascii="Times New Roman" w:hAnsi="Times New Roman"/>
                <w:sz w:val="19"/>
              </w:rPr>
              <w:t>155</w:t>
            </w:r>
          </w:p>
        </w:tc>
        <w:tc>
          <w:tcPr>
            <w:tcW w:w="590" w:type="dxa"/>
          </w:tcPr>
          <w:p w14:paraId="7E237805" w14:textId="77777777" w:rsidR="00A24A1F" w:rsidRDefault="00A24A1F" w:rsidP="004A5EB4">
            <w:pPr>
              <w:jc w:val="center"/>
            </w:pPr>
            <w:r>
              <w:rPr>
                <w:rFonts w:ascii="Times New Roman" w:hAnsi="Times New Roman"/>
                <w:b/>
                <w:sz w:val="19"/>
              </w:rPr>
              <w:t>4.68</w:t>
            </w:r>
          </w:p>
        </w:tc>
      </w:tr>
    </w:tbl>
    <w:p w14:paraId="3FBEA14F" w14:textId="77777777" w:rsidR="00A24A1F" w:rsidRDefault="00A24A1F" w:rsidP="00A24A1F">
      <w:pPr>
        <w:jc w:val="both"/>
      </w:pPr>
    </w:p>
    <w:sectPr w:rsidR="00A24A1F"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867475833">
    <w:abstractNumId w:val="8"/>
  </w:num>
  <w:num w:numId="2" w16cid:durableId="543061773">
    <w:abstractNumId w:val="6"/>
  </w:num>
  <w:num w:numId="3" w16cid:durableId="275718529">
    <w:abstractNumId w:val="5"/>
  </w:num>
  <w:num w:numId="4" w16cid:durableId="1004355087">
    <w:abstractNumId w:val="4"/>
  </w:num>
  <w:num w:numId="5" w16cid:durableId="576063404">
    <w:abstractNumId w:val="7"/>
  </w:num>
  <w:num w:numId="6" w16cid:durableId="1943998531">
    <w:abstractNumId w:val="3"/>
  </w:num>
  <w:num w:numId="7" w16cid:durableId="675419209">
    <w:abstractNumId w:val="2"/>
  </w:num>
  <w:num w:numId="8" w16cid:durableId="1037313959">
    <w:abstractNumId w:val="1"/>
  </w:num>
  <w:num w:numId="9" w16cid:durableId="180742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20675"/>
    <w:rsid w:val="0029639D"/>
    <w:rsid w:val="00326F90"/>
    <w:rsid w:val="00566BBB"/>
    <w:rsid w:val="00A24A1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B4D46"/>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3</cp:revision>
  <cp:lastPrinted>2026-05-22T13:26:00Z</cp:lastPrinted>
  <dcterms:created xsi:type="dcterms:W3CDTF">2013-12-23T23:15:00Z</dcterms:created>
  <dcterms:modified xsi:type="dcterms:W3CDTF">2026-05-22T13:54:00Z</dcterms:modified>
  <cp:category/>
</cp:coreProperties>
</file>